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98" w:rsidRDefault="00275598" w:rsidP="00275598">
      <w:pPr>
        <w:rPr>
          <w:sz w:val="20"/>
          <w:szCs w:val="20"/>
        </w:rPr>
      </w:pPr>
    </w:p>
    <w:p w:rsidR="00275598" w:rsidRDefault="00275598" w:rsidP="00275598">
      <w:pPr>
        <w:rPr>
          <w:sz w:val="20"/>
          <w:szCs w:val="20"/>
        </w:rPr>
      </w:pPr>
    </w:p>
    <w:p w:rsidR="00275598" w:rsidRDefault="00275598" w:rsidP="00275598"/>
    <w:p w:rsidR="00275598" w:rsidRDefault="00275598" w:rsidP="00275598"/>
    <w:p w:rsidR="00275598" w:rsidRDefault="00275598" w:rsidP="00275598">
      <w:pPr>
        <w:jc w:val="center"/>
        <w:rPr>
          <w:b/>
        </w:rPr>
      </w:pPr>
      <w:r w:rsidRPr="00C312B7">
        <w:rPr>
          <w:b/>
        </w:rPr>
        <w:t>ÎN ATENȚIA FURNIZORILOR DE SERVICII MEDICALE, MEDI</w:t>
      </w:r>
      <w:r>
        <w:rPr>
          <w:b/>
        </w:rPr>
        <w:t>CAMENTE ȘI DISPOZITIVE MEDICALE</w:t>
      </w:r>
    </w:p>
    <w:p w:rsidR="00275598" w:rsidRDefault="00275598" w:rsidP="00275598">
      <w:pPr>
        <w:jc w:val="center"/>
        <w:rPr>
          <w:b/>
        </w:rPr>
      </w:pPr>
    </w:p>
    <w:p w:rsidR="00275598" w:rsidRDefault="00275598" w:rsidP="00275598">
      <w:pPr>
        <w:jc w:val="center"/>
        <w:rPr>
          <w:b/>
        </w:rPr>
      </w:pPr>
    </w:p>
    <w:p w:rsidR="00275598" w:rsidRDefault="00275598" w:rsidP="000313F5">
      <w:pPr>
        <w:rPr>
          <w:b/>
          <w:sz w:val="28"/>
          <w:szCs w:val="28"/>
        </w:rPr>
      </w:pPr>
      <w:r>
        <w:rPr>
          <w:b/>
        </w:rPr>
        <w:tab/>
      </w:r>
      <w:r w:rsidRPr="00997794">
        <w:rPr>
          <w:b/>
          <w:sz w:val="28"/>
          <w:szCs w:val="28"/>
        </w:rPr>
        <w:t>Având în vedere prevederile:</w:t>
      </w:r>
    </w:p>
    <w:p w:rsidR="000313F5" w:rsidRPr="00997794" w:rsidRDefault="000313F5" w:rsidP="000313F5">
      <w:pPr>
        <w:rPr>
          <w:b/>
          <w:sz w:val="28"/>
          <w:szCs w:val="28"/>
        </w:rPr>
      </w:pPr>
    </w:p>
    <w:p w:rsidR="00997794" w:rsidRPr="00997794" w:rsidRDefault="00997794" w:rsidP="0099779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Art.249 alin.(3) din Legea nr.95/2006 privind reforma în domeniul sănătății, republicată, cu modificările și completările ulterioare</w:t>
      </w:r>
    </w:p>
    <w:p w:rsidR="00275598" w:rsidRPr="00997794" w:rsidRDefault="00275598" w:rsidP="009977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</w:rPr>
      </w:pPr>
      <w:r w:rsidRPr="00997794">
        <w:rPr>
          <w:rFonts w:eastAsiaTheme="minorHAnsi"/>
          <w:sz w:val="28"/>
          <w:szCs w:val="28"/>
        </w:rPr>
        <w:t xml:space="preserve">   </w:t>
      </w:r>
      <w:proofErr w:type="gramStart"/>
      <w:r w:rsidR="00997794">
        <w:rPr>
          <w:rFonts w:eastAsiaTheme="minorHAnsi"/>
          <w:sz w:val="28"/>
          <w:szCs w:val="28"/>
        </w:rPr>
        <w:t>”</w:t>
      </w:r>
      <w:r w:rsidRPr="00997794">
        <w:rPr>
          <w:rFonts w:eastAsiaTheme="minorHAnsi"/>
          <w:sz w:val="28"/>
          <w:szCs w:val="28"/>
        </w:rPr>
        <w:t>(</w:t>
      </w:r>
      <w:proofErr w:type="gramEnd"/>
      <w:r w:rsidRPr="00997794">
        <w:rPr>
          <w:rFonts w:eastAsiaTheme="minorHAnsi"/>
          <w:sz w:val="28"/>
          <w:szCs w:val="28"/>
        </w:rPr>
        <w:t xml:space="preserve">3) </w:t>
      </w:r>
      <w:r w:rsidRPr="00997794">
        <w:rPr>
          <w:rFonts w:eastAsiaTheme="minorHAnsi"/>
          <w:b/>
          <w:sz w:val="28"/>
          <w:szCs w:val="28"/>
        </w:rPr>
        <w:t>Casele de asigurări de sănătate încheie, potrivit legii, contracte</w:t>
      </w:r>
      <w:r w:rsidRPr="00997794">
        <w:rPr>
          <w:rFonts w:eastAsiaTheme="minorHAnsi"/>
          <w:sz w:val="28"/>
          <w:szCs w:val="28"/>
        </w:rPr>
        <w:t xml:space="preserve"> cu furnizorii de servicii medicale, medicamente şi dispozitive medicale care respectă următoarele condiţii:</w:t>
      </w:r>
    </w:p>
    <w:p w:rsidR="00275598" w:rsidRPr="00997794" w:rsidRDefault="00275598" w:rsidP="009977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</w:rPr>
      </w:pPr>
      <w:r w:rsidRPr="00997794">
        <w:rPr>
          <w:rFonts w:eastAsiaTheme="minorHAnsi"/>
          <w:sz w:val="28"/>
          <w:szCs w:val="28"/>
        </w:rPr>
        <w:t xml:space="preserve">    a) </w:t>
      </w:r>
      <w:proofErr w:type="gramStart"/>
      <w:r w:rsidRPr="00997794">
        <w:rPr>
          <w:rFonts w:eastAsiaTheme="minorHAnsi"/>
          <w:sz w:val="28"/>
          <w:szCs w:val="28"/>
        </w:rPr>
        <w:t>sunt</w:t>
      </w:r>
      <w:proofErr w:type="gramEnd"/>
      <w:r w:rsidRPr="00997794">
        <w:rPr>
          <w:rFonts w:eastAsiaTheme="minorHAnsi"/>
          <w:sz w:val="28"/>
          <w:szCs w:val="28"/>
        </w:rPr>
        <w:t xml:space="preserve"> autorizaţi şi evaluaţi potrivit </w:t>
      </w:r>
      <w:r w:rsidRPr="00997794">
        <w:rPr>
          <w:rFonts w:eastAsiaTheme="minorHAnsi"/>
          <w:color w:val="008000"/>
          <w:sz w:val="28"/>
          <w:szCs w:val="28"/>
          <w:u w:val="single"/>
        </w:rPr>
        <w:t xml:space="preserve">art. </w:t>
      </w:r>
      <w:proofErr w:type="gramStart"/>
      <w:r w:rsidRPr="00997794">
        <w:rPr>
          <w:rFonts w:eastAsiaTheme="minorHAnsi"/>
          <w:color w:val="008000"/>
          <w:sz w:val="28"/>
          <w:szCs w:val="28"/>
          <w:u w:val="single"/>
        </w:rPr>
        <w:t>253</w:t>
      </w:r>
      <w:r w:rsidRPr="00997794">
        <w:rPr>
          <w:rFonts w:eastAsiaTheme="minorHAnsi"/>
          <w:sz w:val="28"/>
          <w:szCs w:val="28"/>
        </w:rPr>
        <w:t xml:space="preserve">, pentru furnizorii exceptaţi de la obligativitatea acreditării sau care nu intră sub incidenţa prevederilor referitoare la acreditare, potrivit </w:t>
      </w:r>
      <w:r w:rsidRPr="00997794">
        <w:rPr>
          <w:rFonts w:eastAsiaTheme="minorHAnsi"/>
          <w:color w:val="008000"/>
          <w:sz w:val="28"/>
          <w:szCs w:val="28"/>
          <w:u w:val="single"/>
        </w:rPr>
        <w:t>art.</w:t>
      </w:r>
      <w:proofErr w:type="gramEnd"/>
      <w:r w:rsidRPr="00997794">
        <w:rPr>
          <w:rFonts w:eastAsiaTheme="minorHAnsi"/>
          <w:color w:val="008000"/>
          <w:sz w:val="28"/>
          <w:szCs w:val="28"/>
          <w:u w:val="single"/>
        </w:rPr>
        <w:t xml:space="preserve"> </w:t>
      </w:r>
      <w:proofErr w:type="gramStart"/>
      <w:r w:rsidRPr="00997794">
        <w:rPr>
          <w:rFonts w:eastAsiaTheme="minorHAnsi"/>
          <w:color w:val="008000"/>
          <w:sz w:val="28"/>
          <w:szCs w:val="28"/>
          <w:u w:val="single"/>
        </w:rPr>
        <w:t>7</w:t>
      </w:r>
      <w:r w:rsidRPr="00997794">
        <w:rPr>
          <w:rFonts w:eastAsiaTheme="minorHAnsi"/>
          <w:sz w:val="28"/>
          <w:szCs w:val="28"/>
        </w:rPr>
        <w:t xml:space="preserve"> alin.</w:t>
      </w:r>
      <w:proofErr w:type="gramEnd"/>
      <w:r w:rsidRPr="00997794">
        <w:rPr>
          <w:rFonts w:eastAsiaTheme="minorHAnsi"/>
          <w:sz w:val="28"/>
          <w:szCs w:val="28"/>
        </w:rPr>
        <w:t xml:space="preserve"> (5) </w:t>
      </w:r>
      <w:proofErr w:type="gramStart"/>
      <w:r w:rsidRPr="00997794">
        <w:rPr>
          <w:rFonts w:eastAsiaTheme="minorHAnsi"/>
          <w:sz w:val="28"/>
          <w:szCs w:val="28"/>
        </w:rPr>
        <w:t>din</w:t>
      </w:r>
      <w:proofErr w:type="gramEnd"/>
      <w:r w:rsidRPr="00997794">
        <w:rPr>
          <w:rFonts w:eastAsiaTheme="minorHAnsi"/>
          <w:sz w:val="28"/>
          <w:szCs w:val="28"/>
        </w:rPr>
        <w:t xml:space="preserve"> Legea nr. 185/2017 privind asigurarea calităţii în sistemul de sănătate, cu modificările şi completările ulterioare;</w:t>
      </w:r>
    </w:p>
    <w:p w:rsidR="00275598" w:rsidRPr="00997794" w:rsidRDefault="00275598" w:rsidP="009977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</w:rPr>
      </w:pPr>
      <w:r w:rsidRPr="00997794">
        <w:rPr>
          <w:rFonts w:eastAsiaTheme="minorHAnsi"/>
          <w:sz w:val="28"/>
          <w:szCs w:val="28"/>
        </w:rPr>
        <w:t xml:space="preserve">    b) </w:t>
      </w:r>
      <w:proofErr w:type="gramStart"/>
      <w:r w:rsidRPr="00997794">
        <w:rPr>
          <w:rFonts w:eastAsiaTheme="minorHAnsi"/>
          <w:sz w:val="28"/>
          <w:szCs w:val="28"/>
        </w:rPr>
        <w:t>sunt</w:t>
      </w:r>
      <w:proofErr w:type="gramEnd"/>
      <w:r w:rsidRPr="00997794">
        <w:rPr>
          <w:rFonts w:eastAsiaTheme="minorHAnsi"/>
          <w:sz w:val="28"/>
          <w:szCs w:val="28"/>
        </w:rPr>
        <w:t xml:space="preserve"> autorizaţi şi acreditaţi sau înscrişi în procesul de acreditare, pentru furnizorii obligaţi să se acrediteze sau care au optat să parcurgă voluntar procesul de acreditare;</w:t>
      </w:r>
    </w:p>
    <w:p w:rsidR="00275598" w:rsidRPr="00997794" w:rsidRDefault="00275598" w:rsidP="009977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</w:rPr>
      </w:pPr>
      <w:r w:rsidRPr="00997794">
        <w:rPr>
          <w:rFonts w:eastAsiaTheme="minorHAnsi"/>
          <w:sz w:val="28"/>
          <w:szCs w:val="28"/>
        </w:rPr>
        <w:t xml:space="preserve">    c) </w:t>
      </w:r>
      <w:proofErr w:type="gramStart"/>
      <w:r w:rsidRPr="00997794">
        <w:rPr>
          <w:rFonts w:eastAsiaTheme="minorHAnsi"/>
          <w:sz w:val="28"/>
          <w:szCs w:val="28"/>
        </w:rPr>
        <w:t>dispun</w:t>
      </w:r>
      <w:proofErr w:type="gramEnd"/>
      <w:r w:rsidRPr="00997794">
        <w:rPr>
          <w:rFonts w:eastAsiaTheme="minorHAnsi"/>
          <w:sz w:val="28"/>
          <w:szCs w:val="28"/>
        </w:rPr>
        <w:t xml:space="preserve"> de un sistem informaţional şi informatic a cărui utilizare permite evidenţa, raportarea, decontarea şi controlul serviciilor medicale efectuate, conform cerinţelor CNAS;</w:t>
      </w:r>
    </w:p>
    <w:p w:rsidR="00275598" w:rsidRPr="00997794" w:rsidRDefault="00275598" w:rsidP="009977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</w:rPr>
      </w:pPr>
      <w:r w:rsidRPr="00997794">
        <w:rPr>
          <w:rFonts w:eastAsiaTheme="minorHAnsi"/>
          <w:sz w:val="28"/>
          <w:szCs w:val="28"/>
        </w:rPr>
        <w:t xml:space="preserve">    d) </w:t>
      </w:r>
      <w:proofErr w:type="gramStart"/>
      <w:r w:rsidRPr="00997794">
        <w:rPr>
          <w:rFonts w:eastAsiaTheme="minorHAnsi"/>
          <w:sz w:val="28"/>
          <w:szCs w:val="28"/>
        </w:rPr>
        <w:t>utilizează</w:t>
      </w:r>
      <w:proofErr w:type="gramEnd"/>
      <w:r w:rsidRPr="00997794">
        <w:rPr>
          <w:rFonts w:eastAsiaTheme="minorHAnsi"/>
          <w:sz w:val="28"/>
          <w:szCs w:val="28"/>
        </w:rPr>
        <w:t xml:space="preserve"> pentru tratamentul afecţiunilor numai medicamente din Nomenclatorul de produse medicamentoase de uz uman;</w:t>
      </w:r>
    </w:p>
    <w:p w:rsidR="00275598" w:rsidRPr="00997794" w:rsidRDefault="00275598" w:rsidP="009977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</w:rPr>
      </w:pPr>
      <w:r w:rsidRPr="00997794">
        <w:rPr>
          <w:rFonts w:eastAsiaTheme="minorHAnsi"/>
          <w:sz w:val="28"/>
          <w:szCs w:val="28"/>
        </w:rPr>
        <w:t xml:space="preserve">    e) </w:t>
      </w:r>
      <w:proofErr w:type="gramStart"/>
      <w:r w:rsidRPr="00997794">
        <w:rPr>
          <w:rFonts w:eastAsiaTheme="minorHAnsi"/>
          <w:sz w:val="28"/>
          <w:szCs w:val="28"/>
        </w:rPr>
        <w:t>utilizează</w:t>
      </w:r>
      <w:proofErr w:type="gramEnd"/>
      <w:r w:rsidRPr="00997794">
        <w:rPr>
          <w:rFonts w:eastAsiaTheme="minorHAnsi"/>
          <w:sz w:val="28"/>
          <w:szCs w:val="28"/>
        </w:rPr>
        <w:t xml:space="preserve"> materiale sanitare şi dispozitive medicale autorizate, conform legii."</w:t>
      </w:r>
    </w:p>
    <w:p w:rsidR="00275598" w:rsidRPr="00997794" w:rsidRDefault="00275598" w:rsidP="00997794">
      <w:pPr>
        <w:spacing w:line="276" w:lineRule="auto"/>
        <w:jc w:val="both"/>
        <w:rPr>
          <w:b/>
          <w:sz w:val="28"/>
          <w:szCs w:val="28"/>
        </w:rPr>
      </w:pPr>
    </w:p>
    <w:p w:rsidR="00275598" w:rsidRPr="00997794" w:rsidRDefault="000313F5" w:rsidP="00997794">
      <w:pPr>
        <w:pStyle w:val="ListParagraph"/>
        <w:numPr>
          <w:ilvl w:val="0"/>
          <w:numId w:val="19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275598" w:rsidRPr="00997794">
        <w:rPr>
          <w:b/>
          <w:sz w:val="28"/>
          <w:szCs w:val="28"/>
        </w:rPr>
        <w:t>rt.7</w:t>
      </w:r>
      <w:r>
        <w:rPr>
          <w:b/>
          <w:sz w:val="28"/>
          <w:szCs w:val="28"/>
        </w:rPr>
        <w:t>,</w:t>
      </w:r>
      <w:r w:rsidR="00275598" w:rsidRPr="00997794">
        <w:rPr>
          <w:b/>
          <w:sz w:val="28"/>
          <w:szCs w:val="28"/>
        </w:rPr>
        <w:t xml:space="preserve"> alin.(5) din Legea nr.185/2017 privind asigurarea calității în sistemul de sănătate, </w:t>
      </w:r>
      <w:r>
        <w:rPr>
          <w:b/>
          <w:sz w:val="28"/>
          <w:szCs w:val="28"/>
        </w:rPr>
        <w:t>cu modificările și completările ulterioare</w:t>
      </w:r>
    </w:p>
    <w:p w:rsidR="00275598" w:rsidRPr="00997794" w:rsidRDefault="00275598" w:rsidP="00997794">
      <w:pPr>
        <w:spacing w:line="276" w:lineRule="auto"/>
        <w:jc w:val="both"/>
        <w:rPr>
          <w:sz w:val="28"/>
          <w:szCs w:val="28"/>
        </w:rPr>
      </w:pPr>
    </w:p>
    <w:p w:rsidR="00275598" w:rsidRPr="00997794" w:rsidRDefault="00275598" w:rsidP="000313F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b/>
          <w:sz w:val="28"/>
          <w:szCs w:val="28"/>
        </w:rPr>
      </w:pPr>
      <w:r w:rsidRPr="00997794">
        <w:rPr>
          <w:rFonts w:eastAsiaTheme="minorHAnsi"/>
          <w:sz w:val="28"/>
          <w:szCs w:val="28"/>
        </w:rPr>
        <w:t xml:space="preserve">"(5) Acreditarea este o condiţie obligatorie pentru unităţile sanitare care prestează sau nu servicii în relaţie cu sistemul public de asigurări de sănătate, </w:t>
      </w:r>
      <w:r w:rsidRPr="00997794">
        <w:rPr>
          <w:rFonts w:eastAsiaTheme="minorHAnsi"/>
          <w:b/>
          <w:sz w:val="28"/>
          <w:szCs w:val="28"/>
        </w:rPr>
        <w:t xml:space="preserve">cu excepţia cabinetelor de medicină de familie, a cabinetelor medicale dentare şi a cabinetelor medicale din ambulatoriul de specialitate organizate conform </w:t>
      </w:r>
      <w:r w:rsidRPr="00997794">
        <w:rPr>
          <w:rFonts w:eastAsiaTheme="minorHAnsi"/>
          <w:b/>
          <w:color w:val="008000"/>
          <w:sz w:val="28"/>
          <w:szCs w:val="28"/>
          <w:u w:val="single"/>
        </w:rPr>
        <w:t xml:space="preserve">Ordonanţei Guvernului nr. </w:t>
      </w:r>
      <w:proofErr w:type="gramStart"/>
      <w:r w:rsidRPr="00997794">
        <w:rPr>
          <w:rFonts w:eastAsiaTheme="minorHAnsi"/>
          <w:b/>
          <w:color w:val="008000"/>
          <w:sz w:val="28"/>
          <w:szCs w:val="28"/>
          <w:u w:val="single"/>
        </w:rPr>
        <w:t>124/1998</w:t>
      </w:r>
      <w:r w:rsidRPr="00997794">
        <w:rPr>
          <w:rFonts w:eastAsiaTheme="minorHAnsi"/>
          <w:b/>
          <w:sz w:val="28"/>
          <w:szCs w:val="28"/>
        </w:rPr>
        <w:t xml:space="preserve"> privind organizarea şi funcţionarea cabinetelor medicale, republicată, cu modificările şi completările ulterioare, şi </w:t>
      </w:r>
      <w:r w:rsidRPr="003A42C6">
        <w:rPr>
          <w:rFonts w:eastAsiaTheme="minorHAnsi"/>
          <w:b/>
          <w:color w:val="008000"/>
          <w:sz w:val="28"/>
          <w:szCs w:val="28"/>
          <w:u w:val="single"/>
        </w:rPr>
        <w:t>Legii</w:t>
      </w:r>
      <w:r w:rsidRPr="003A42C6">
        <w:rPr>
          <w:rFonts w:eastAsiaTheme="minorHAnsi"/>
          <w:b/>
          <w:sz w:val="28"/>
          <w:szCs w:val="28"/>
          <w:u w:val="single"/>
        </w:rPr>
        <w:t xml:space="preserve"> societăţilor nr.</w:t>
      </w:r>
      <w:proofErr w:type="gramEnd"/>
      <w:r w:rsidRPr="003A42C6">
        <w:rPr>
          <w:rFonts w:eastAsiaTheme="minorHAnsi"/>
          <w:b/>
          <w:sz w:val="28"/>
          <w:szCs w:val="28"/>
          <w:u w:val="single"/>
        </w:rPr>
        <w:t xml:space="preserve"> 31/1990</w:t>
      </w:r>
      <w:r w:rsidRPr="00997794">
        <w:rPr>
          <w:rFonts w:eastAsiaTheme="minorHAnsi"/>
          <w:b/>
          <w:sz w:val="28"/>
          <w:szCs w:val="28"/>
        </w:rPr>
        <w:t xml:space="preserve">, republicată, cu modificările şi completările ulterioare, precum </w:t>
      </w:r>
      <w:proofErr w:type="gramStart"/>
      <w:r w:rsidRPr="00997794">
        <w:rPr>
          <w:rFonts w:eastAsiaTheme="minorHAnsi"/>
          <w:b/>
          <w:sz w:val="28"/>
          <w:szCs w:val="28"/>
        </w:rPr>
        <w:t>şi a laboratoarelor de analize</w:t>
      </w:r>
      <w:proofErr w:type="gramEnd"/>
      <w:r w:rsidRPr="00997794">
        <w:rPr>
          <w:rFonts w:eastAsiaTheme="minorHAnsi"/>
          <w:b/>
          <w:sz w:val="28"/>
          <w:szCs w:val="28"/>
        </w:rPr>
        <w:t xml:space="preserve"> medicale şi de anatomie </w:t>
      </w:r>
      <w:r w:rsidRPr="00997794">
        <w:rPr>
          <w:rFonts w:eastAsiaTheme="minorHAnsi"/>
          <w:b/>
          <w:sz w:val="28"/>
          <w:szCs w:val="28"/>
        </w:rPr>
        <w:lastRenderedPageBreak/>
        <w:t xml:space="preserve">patologică. </w:t>
      </w:r>
      <w:proofErr w:type="gramStart"/>
      <w:r w:rsidRPr="00997794">
        <w:rPr>
          <w:rFonts w:eastAsiaTheme="minorHAnsi"/>
          <w:b/>
          <w:sz w:val="28"/>
          <w:szCs w:val="28"/>
        </w:rPr>
        <w:t>Prezenta lege nu se aplică unităţilor farmaceutice - farmacii şi oficine de circuit deschis."</w:t>
      </w:r>
      <w:proofErr w:type="gramEnd"/>
    </w:p>
    <w:p w:rsidR="00275598" w:rsidRPr="00997794" w:rsidRDefault="00275598" w:rsidP="00997794">
      <w:pPr>
        <w:spacing w:line="276" w:lineRule="auto"/>
        <w:jc w:val="both"/>
        <w:rPr>
          <w:sz w:val="28"/>
          <w:szCs w:val="28"/>
        </w:rPr>
      </w:pPr>
    </w:p>
    <w:p w:rsidR="00275598" w:rsidRPr="00997794" w:rsidRDefault="00275598" w:rsidP="00997794">
      <w:pPr>
        <w:spacing w:line="276" w:lineRule="auto"/>
        <w:jc w:val="both"/>
        <w:rPr>
          <w:sz w:val="28"/>
          <w:szCs w:val="28"/>
        </w:rPr>
      </w:pPr>
      <w:r w:rsidRPr="00997794">
        <w:rPr>
          <w:sz w:val="28"/>
          <w:szCs w:val="28"/>
        </w:rPr>
        <w:tab/>
      </w:r>
      <w:r w:rsidR="00997794">
        <w:rPr>
          <w:sz w:val="28"/>
          <w:szCs w:val="28"/>
        </w:rPr>
        <w:t>În concluzie, a</w:t>
      </w:r>
      <w:r w:rsidRPr="00997794">
        <w:rPr>
          <w:sz w:val="28"/>
          <w:szCs w:val="28"/>
        </w:rPr>
        <w:t xml:space="preserve">creditarea </w:t>
      </w:r>
      <w:proofErr w:type="gramStart"/>
      <w:r w:rsidRPr="00997794">
        <w:rPr>
          <w:sz w:val="28"/>
          <w:szCs w:val="28"/>
        </w:rPr>
        <w:t>este</w:t>
      </w:r>
      <w:proofErr w:type="gramEnd"/>
      <w:r w:rsidRPr="00997794">
        <w:rPr>
          <w:sz w:val="28"/>
          <w:szCs w:val="28"/>
        </w:rPr>
        <w:t xml:space="preserve"> o condiție obligatorie pentru unitățile sanitare din ambulatoriu care prestează următoarele tipuri de servicii medicale:</w:t>
      </w:r>
    </w:p>
    <w:p w:rsidR="00275598" w:rsidRPr="00997794" w:rsidRDefault="00275598" w:rsidP="00997794">
      <w:pPr>
        <w:spacing w:line="276" w:lineRule="auto"/>
        <w:jc w:val="both"/>
        <w:rPr>
          <w:sz w:val="28"/>
          <w:szCs w:val="28"/>
        </w:rPr>
      </w:pPr>
    </w:p>
    <w:p w:rsidR="00275598" w:rsidRPr="00997794" w:rsidRDefault="00275598" w:rsidP="00997794">
      <w:pPr>
        <w:pStyle w:val="ListParagraph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997794">
        <w:rPr>
          <w:sz w:val="28"/>
          <w:szCs w:val="28"/>
        </w:rPr>
        <w:t>Servicii medicale acordate în regim ambulatoriu – paraclinic radiologie și imagistică medical</w:t>
      </w:r>
      <w:r w:rsidR="00E4283F">
        <w:rPr>
          <w:sz w:val="28"/>
          <w:szCs w:val="28"/>
        </w:rPr>
        <w:t>ă</w:t>
      </w:r>
    </w:p>
    <w:p w:rsidR="00275598" w:rsidRPr="00997794" w:rsidRDefault="00275598" w:rsidP="00997794">
      <w:pPr>
        <w:pStyle w:val="ListParagraph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997794">
        <w:rPr>
          <w:sz w:val="28"/>
          <w:szCs w:val="28"/>
        </w:rPr>
        <w:t>Servicii  medicale acordate în regim ambulatoriu – îngrijiri paliative</w:t>
      </w:r>
    </w:p>
    <w:p w:rsidR="00275598" w:rsidRPr="00997794" w:rsidRDefault="00275598" w:rsidP="00997794">
      <w:pPr>
        <w:pStyle w:val="ListParagraph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997794">
        <w:rPr>
          <w:sz w:val="28"/>
          <w:szCs w:val="28"/>
        </w:rPr>
        <w:t>Servicii medicale  acordate în regim ambulatoriu – urgență prespital</w:t>
      </w:r>
    </w:p>
    <w:p w:rsidR="00275598" w:rsidRPr="00997794" w:rsidRDefault="00275598" w:rsidP="00997794">
      <w:pPr>
        <w:pStyle w:val="ListParagraph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997794">
        <w:rPr>
          <w:sz w:val="28"/>
          <w:szCs w:val="28"/>
        </w:rPr>
        <w:t>Servicii medicale acordate în regim ambulatoriu – îngrijiri medicale la domiciliu</w:t>
      </w:r>
    </w:p>
    <w:p w:rsidR="00275598" w:rsidRPr="00997794" w:rsidRDefault="00275598" w:rsidP="00997794">
      <w:pPr>
        <w:pStyle w:val="ListParagraph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997794">
        <w:rPr>
          <w:sz w:val="28"/>
          <w:szCs w:val="28"/>
        </w:rPr>
        <w:t>Servicii medicale acordate în regim ambulatoriu – dispo</w:t>
      </w:r>
      <w:r w:rsidR="00E4283F">
        <w:rPr>
          <w:sz w:val="28"/>
          <w:szCs w:val="28"/>
        </w:rPr>
        <w:t>z</w:t>
      </w:r>
      <w:r w:rsidRPr="00997794">
        <w:rPr>
          <w:sz w:val="28"/>
          <w:szCs w:val="28"/>
        </w:rPr>
        <w:t>itive medicale personalizate conform unei prescripții medicale</w:t>
      </w:r>
    </w:p>
    <w:p w:rsidR="00997794" w:rsidRDefault="00997794" w:rsidP="00997794">
      <w:pPr>
        <w:spacing w:line="276" w:lineRule="auto"/>
        <w:jc w:val="both"/>
        <w:rPr>
          <w:sz w:val="28"/>
          <w:szCs w:val="28"/>
        </w:rPr>
      </w:pPr>
    </w:p>
    <w:p w:rsidR="00275598" w:rsidRPr="00997794" w:rsidRDefault="00275598" w:rsidP="00997794">
      <w:pPr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997794">
        <w:rPr>
          <w:sz w:val="28"/>
          <w:szCs w:val="28"/>
        </w:rPr>
        <w:t>Unitățile sanitare din ambulatoriu care nu au obligația acreditării se pot înscrie voluntar în procesul de acreditare, parcurgând aceleași etape ale procesului de înscriere.</w:t>
      </w:r>
      <w:proofErr w:type="gramEnd"/>
      <w:r w:rsidR="00997794">
        <w:rPr>
          <w:sz w:val="28"/>
          <w:szCs w:val="28"/>
        </w:rPr>
        <w:t xml:space="preserve"> </w:t>
      </w:r>
      <w:r w:rsidRPr="00997794">
        <w:rPr>
          <w:sz w:val="28"/>
          <w:szCs w:val="28"/>
        </w:rPr>
        <w:t xml:space="preserve">Pentru înregistrare și încriere nu </w:t>
      </w:r>
      <w:proofErr w:type="gramStart"/>
      <w:r w:rsidRPr="00997794">
        <w:rPr>
          <w:sz w:val="28"/>
          <w:szCs w:val="28"/>
        </w:rPr>
        <w:t>este</w:t>
      </w:r>
      <w:proofErr w:type="gramEnd"/>
      <w:r w:rsidRPr="00997794">
        <w:rPr>
          <w:sz w:val="28"/>
          <w:szCs w:val="28"/>
        </w:rPr>
        <w:t xml:space="preserve"> necesară plata niciunei taxe.</w:t>
      </w:r>
    </w:p>
    <w:p w:rsidR="00997794" w:rsidRDefault="00997794" w:rsidP="00997794">
      <w:pPr>
        <w:spacing w:line="276" w:lineRule="auto"/>
        <w:jc w:val="both"/>
        <w:rPr>
          <w:sz w:val="28"/>
          <w:szCs w:val="28"/>
        </w:rPr>
      </w:pPr>
    </w:p>
    <w:p w:rsidR="00275598" w:rsidRPr="00997794" w:rsidRDefault="00275598" w:rsidP="00997794">
      <w:pPr>
        <w:spacing w:line="276" w:lineRule="auto"/>
        <w:ind w:firstLine="360"/>
        <w:jc w:val="both"/>
        <w:rPr>
          <w:sz w:val="28"/>
          <w:szCs w:val="28"/>
        </w:rPr>
      </w:pPr>
      <w:r w:rsidRPr="00997794">
        <w:rPr>
          <w:sz w:val="28"/>
          <w:szCs w:val="28"/>
        </w:rPr>
        <w:t xml:space="preserve">În vederea obținerii </w:t>
      </w:r>
      <w:r w:rsidRPr="003A42C6">
        <w:rPr>
          <w:b/>
          <w:sz w:val="28"/>
          <w:szCs w:val="28"/>
        </w:rPr>
        <w:t>Adeverinței de în</w:t>
      </w:r>
      <w:r w:rsidR="003A42C6" w:rsidRPr="003A42C6">
        <w:rPr>
          <w:b/>
          <w:sz w:val="28"/>
          <w:szCs w:val="28"/>
        </w:rPr>
        <w:t>s</w:t>
      </w:r>
      <w:r w:rsidRPr="003A42C6">
        <w:rPr>
          <w:b/>
          <w:sz w:val="28"/>
          <w:szCs w:val="28"/>
        </w:rPr>
        <w:t>criere</w:t>
      </w:r>
      <w:r w:rsidRPr="00997794">
        <w:rPr>
          <w:sz w:val="28"/>
          <w:szCs w:val="28"/>
        </w:rPr>
        <w:t xml:space="preserve"> în procedura de acreditare </w:t>
      </w:r>
      <w:proofErr w:type="gramStart"/>
      <w:r w:rsidRPr="00997794">
        <w:rPr>
          <w:sz w:val="28"/>
          <w:szCs w:val="28"/>
        </w:rPr>
        <w:t>este</w:t>
      </w:r>
      <w:proofErr w:type="gramEnd"/>
      <w:r w:rsidRPr="00997794">
        <w:rPr>
          <w:sz w:val="28"/>
          <w:szCs w:val="28"/>
        </w:rPr>
        <w:t xml:space="preserve"> necesară parcurgerea etapei de înregistrare în </w:t>
      </w:r>
      <w:r w:rsidR="00B53416" w:rsidRPr="00997794">
        <w:rPr>
          <w:sz w:val="28"/>
          <w:szCs w:val="28"/>
        </w:rPr>
        <w:t>platform</w:t>
      </w:r>
      <w:r w:rsidR="00997794">
        <w:rPr>
          <w:sz w:val="28"/>
          <w:szCs w:val="28"/>
        </w:rPr>
        <w:t>a</w:t>
      </w:r>
      <w:r w:rsidR="00B53416" w:rsidRPr="00997794">
        <w:rPr>
          <w:sz w:val="28"/>
          <w:szCs w:val="28"/>
        </w:rPr>
        <w:t xml:space="preserve"> </w:t>
      </w:r>
      <w:r w:rsidR="00997794">
        <w:rPr>
          <w:sz w:val="28"/>
          <w:szCs w:val="28"/>
        </w:rPr>
        <w:t>CAPESARO</w:t>
      </w:r>
      <w:r w:rsidR="00B53416" w:rsidRPr="00997794">
        <w:rPr>
          <w:sz w:val="28"/>
          <w:szCs w:val="28"/>
        </w:rPr>
        <w:t xml:space="preserve"> (</w:t>
      </w:r>
      <w:hyperlink r:id="rId5" w:history="1">
        <w:r w:rsidR="00B53416" w:rsidRPr="00997794">
          <w:rPr>
            <w:rStyle w:val="Hyperlink"/>
            <w:sz w:val="28"/>
            <w:szCs w:val="28"/>
          </w:rPr>
          <w:t>https://anmcs.gov.ro/web/acces-aplicatie-capesaro/</w:t>
        </w:r>
      </w:hyperlink>
      <w:r w:rsidR="00B53416" w:rsidRPr="00997794">
        <w:rPr>
          <w:sz w:val="28"/>
          <w:szCs w:val="28"/>
        </w:rPr>
        <w:t>), pentru obținerea numelui de utilizator și a parolei de acces necesare înscrierii în procedura de acreditare.</w:t>
      </w:r>
    </w:p>
    <w:p w:rsidR="00B53416" w:rsidRPr="00997794" w:rsidRDefault="00B53416" w:rsidP="00997794">
      <w:pPr>
        <w:spacing w:line="276" w:lineRule="auto"/>
        <w:jc w:val="both"/>
        <w:rPr>
          <w:sz w:val="28"/>
          <w:szCs w:val="28"/>
        </w:rPr>
      </w:pPr>
      <w:r w:rsidRPr="00997794">
        <w:rPr>
          <w:sz w:val="28"/>
          <w:szCs w:val="28"/>
        </w:rPr>
        <w:tab/>
      </w:r>
      <w:proofErr w:type="gramStart"/>
      <w:r w:rsidRPr="00997794">
        <w:rPr>
          <w:sz w:val="28"/>
          <w:szCs w:val="28"/>
        </w:rPr>
        <w:t>Informațiile cu privire la înregistrarea unității sanitare, precum și în</w:t>
      </w:r>
      <w:r w:rsidR="00E4283F">
        <w:rPr>
          <w:sz w:val="28"/>
          <w:szCs w:val="28"/>
        </w:rPr>
        <w:t>s</w:t>
      </w:r>
      <w:r w:rsidRPr="00997794">
        <w:rPr>
          <w:sz w:val="28"/>
          <w:szCs w:val="28"/>
        </w:rPr>
        <w:t xml:space="preserve">crierea în procesul de acreditare se găsesc la adresa </w:t>
      </w:r>
      <w:hyperlink r:id="rId6" w:history="1">
        <w:r w:rsidRPr="00997794">
          <w:rPr>
            <w:rStyle w:val="Hyperlink"/>
            <w:sz w:val="28"/>
            <w:szCs w:val="28"/>
          </w:rPr>
          <w:t>https://capesaro.gov.ro/map.php</w:t>
        </w:r>
      </w:hyperlink>
      <w:r w:rsidRPr="00997794">
        <w:rPr>
          <w:sz w:val="28"/>
          <w:szCs w:val="28"/>
        </w:rPr>
        <w:t>.</w:t>
      </w:r>
      <w:proofErr w:type="gramEnd"/>
    </w:p>
    <w:p w:rsidR="00B53416" w:rsidRPr="00997794" w:rsidRDefault="00B53416" w:rsidP="00997794">
      <w:pPr>
        <w:spacing w:line="276" w:lineRule="auto"/>
        <w:jc w:val="both"/>
        <w:rPr>
          <w:sz w:val="28"/>
          <w:szCs w:val="28"/>
        </w:rPr>
      </w:pPr>
      <w:r w:rsidRPr="00997794">
        <w:rPr>
          <w:sz w:val="28"/>
          <w:szCs w:val="28"/>
        </w:rPr>
        <w:tab/>
        <w:t>La finalizarea în</w:t>
      </w:r>
      <w:r w:rsidR="00E4283F">
        <w:rPr>
          <w:sz w:val="28"/>
          <w:szCs w:val="28"/>
        </w:rPr>
        <w:t>s</w:t>
      </w:r>
      <w:r w:rsidRPr="00997794">
        <w:rPr>
          <w:sz w:val="28"/>
          <w:szCs w:val="28"/>
        </w:rPr>
        <w:t>crierii în platform</w:t>
      </w:r>
      <w:r w:rsidR="00997794">
        <w:rPr>
          <w:sz w:val="28"/>
          <w:szCs w:val="28"/>
        </w:rPr>
        <w:t>a</w:t>
      </w:r>
      <w:r w:rsidRPr="00997794">
        <w:rPr>
          <w:sz w:val="28"/>
          <w:szCs w:val="28"/>
        </w:rPr>
        <w:t xml:space="preserve"> informatică CAPESARO, unitatea sanitară poate descărca Adeverința de în</w:t>
      </w:r>
      <w:r w:rsidR="003A42C6">
        <w:rPr>
          <w:sz w:val="28"/>
          <w:szCs w:val="28"/>
        </w:rPr>
        <w:t>s</w:t>
      </w:r>
      <w:r w:rsidRPr="00997794">
        <w:rPr>
          <w:sz w:val="28"/>
          <w:szCs w:val="28"/>
        </w:rPr>
        <w:t>criere, necesară contractării cu casele de asigurări de sănătate.</w:t>
      </w:r>
    </w:p>
    <w:p w:rsidR="00B53416" w:rsidRPr="00997794" w:rsidRDefault="00B53416" w:rsidP="00997794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997794">
        <w:rPr>
          <w:sz w:val="28"/>
          <w:szCs w:val="28"/>
        </w:rPr>
        <w:t>Anexăm Ordinul nr.53/19.02.2020 privind aprobarea documentelor necesare înscrierii unităților sanitare din ambulatoriu în procesul de acreditare, emis de Președintele Autorității Naționale de Management al Calității în Sănătate.</w:t>
      </w:r>
      <w:proofErr w:type="gramEnd"/>
    </w:p>
    <w:p w:rsidR="00275598" w:rsidRPr="00997794" w:rsidRDefault="00275598" w:rsidP="00997794">
      <w:pPr>
        <w:spacing w:line="276" w:lineRule="auto"/>
        <w:jc w:val="both"/>
        <w:rPr>
          <w:sz w:val="28"/>
          <w:szCs w:val="28"/>
        </w:rPr>
      </w:pPr>
    </w:p>
    <w:p w:rsidR="00275598" w:rsidRDefault="00275598" w:rsidP="00275598">
      <w:pPr>
        <w:rPr>
          <w:sz w:val="20"/>
          <w:szCs w:val="20"/>
        </w:rPr>
      </w:pPr>
    </w:p>
    <w:sectPr w:rsidR="00275598" w:rsidSect="000F7317">
      <w:headerReference w:type="default" r:id="rId7"/>
      <w:footerReference w:type="default" r:id="rId8"/>
      <w:pgSz w:w="11906" w:h="16838" w:code="9"/>
      <w:pgMar w:top="1418" w:right="851" w:bottom="1418" w:left="1418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E4" w:rsidRPr="00C173FC" w:rsidRDefault="00E4283F" w:rsidP="00C173FC">
    <w:pPr>
      <w:pStyle w:val="Footer"/>
      <w:rPr>
        <w:sz w:val="4"/>
        <w:szCs w:val="4"/>
      </w:rPr>
    </w:pPr>
  </w:p>
  <w:p w:rsidR="00AA7BE4" w:rsidRPr="00C173FC" w:rsidRDefault="00E4283F" w:rsidP="00C173FC">
    <w:pPr>
      <w:pStyle w:val="Footer"/>
      <w:rPr>
        <w:sz w:val="4"/>
        <w:szCs w:val="4"/>
      </w:rPr>
    </w:pPr>
  </w:p>
  <w:p w:rsidR="00AA7BE4" w:rsidRDefault="00E4283F" w:rsidP="00C173FC">
    <w:pPr>
      <w:pStyle w:val="Footer"/>
      <w:rPr>
        <w:sz w:val="4"/>
        <w:szCs w:val="4"/>
      </w:rPr>
    </w:pPr>
  </w:p>
  <w:p w:rsidR="00AA7BE4" w:rsidRPr="00C173FC" w:rsidRDefault="00E4283F" w:rsidP="00C173FC">
    <w:pPr>
      <w:pStyle w:val="Footer"/>
      <w:rPr>
        <w:sz w:val="4"/>
        <w:szCs w:val="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E4" w:rsidRDefault="00E4283F" w:rsidP="00963676">
    <w:pPr>
      <w:pStyle w:val="Header"/>
      <w:tabs>
        <w:tab w:val="clear" w:pos="9072"/>
        <w:tab w:val="right" w:pos="9923"/>
      </w:tabs>
      <w:ind w:left="-360" w:right="-85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0.95pt;height:65.1pt">
          <v:imagedata r:id="rId1" o:title="header_oficial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B96"/>
    <w:multiLevelType w:val="hybridMultilevel"/>
    <w:tmpl w:val="C1A8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E39EB"/>
    <w:multiLevelType w:val="hybridMultilevel"/>
    <w:tmpl w:val="02828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665"/>
    <w:multiLevelType w:val="hybridMultilevel"/>
    <w:tmpl w:val="0A84D8B6"/>
    <w:lvl w:ilvl="0" w:tplc="402A15A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51E46"/>
    <w:multiLevelType w:val="hybridMultilevel"/>
    <w:tmpl w:val="536E309A"/>
    <w:lvl w:ilvl="0" w:tplc="80F4A0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30A97"/>
    <w:multiLevelType w:val="hybridMultilevel"/>
    <w:tmpl w:val="37587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D70B9"/>
    <w:multiLevelType w:val="hybridMultilevel"/>
    <w:tmpl w:val="5238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43D88"/>
    <w:multiLevelType w:val="hybridMultilevel"/>
    <w:tmpl w:val="89D2E3A4"/>
    <w:lvl w:ilvl="0" w:tplc="38BAB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35C7F"/>
    <w:multiLevelType w:val="hybridMultilevel"/>
    <w:tmpl w:val="1574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226BB"/>
    <w:multiLevelType w:val="hybridMultilevel"/>
    <w:tmpl w:val="C3C2A3B2"/>
    <w:lvl w:ilvl="0" w:tplc="FC76F3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2436BD"/>
    <w:multiLevelType w:val="hybridMultilevel"/>
    <w:tmpl w:val="93BC101E"/>
    <w:lvl w:ilvl="0" w:tplc="9B8830D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0E0485"/>
    <w:multiLevelType w:val="hybridMultilevel"/>
    <w:tmpl w:val="191E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0251AB"/>
    <w:multiLevelType w:val="hybridMultilevel"/>
    <w:tmpl w:val="11622A02"/>
    <w:lvl w:ilvl="0" w:tplc="E828DC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92747"/>
    <w:multiLevelType w:val="hybridMultilevel"/>
    <w:tmpl w:val="1EAC32B4"/>
    <w:lvl w:ilvl="0" w:tplc="63BECFF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C47DAE"/>
    <w:multiLevelType w:val="hybridMultilevel"/>
    <w:tmpl w:val="B63A42D2"/>
    <w:lvl w:ilvl="0" w:tplc="A41EC4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CA13E7"/>
    <w:multiLevelType w:val="hybridMultilevel"/>
    <w:tmpl w:val="1998419E"/>
    <w:lvl w:ilvl="0" w:tplc="7C6A5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F061F5"/>
    <w:multiLevelType w:val="hybridMultilevel"/>
    <w:tmpl w:val="479A4E56"/>
    <w:lvl w:ilvl="0" w:tplc="C8667D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491A20"/>
    <w:multiLevelType w:val="hybridMultilevel"/>
    <w:tmpl w:val="B2887912"/>
    <w:lvl w:ilvl="0" w:tplc="190E8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E5286B"/>
    <w:multiLevelType w:val="hybridMultilevel"/>
    <w:tmpl w:val="09463B1E"/>
    <w:lvl w:ilvl="0" w:tplc="242069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9E0710"/>
    <w:multiLevelType w:val="hybridMultilevel"/>
    <w:tmpl w:val="2EDC0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8"/>
  </w:num>
  <w:num w:numId="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4"/>
  </w:num>
  <w:num w:numId="11">
    <w:abstractNumId w:val="15"/>
  </w:num>
  <w:num w:numId="12">
    <w:abstractNumId w:val="14"/>
  </w:num>
  <w:num w:numId="13">
    <w:abstractNumId w:val="17"/>
  </w:num>
  <w:num w:numId="14">
    <w:abstractNumId w:val="16"/>
  </w:num>
  <w:num w:numId="15">
    <w:abstractNumId w:val="1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275598"/>
    <w:rsid w:val="000313F5"/>
    <w:rsid w:val="00200BE9"/>
    <w:rsid w:val="00275598"/>
    <w:rsid w:val="003A42C6"/>
    <w:rsid w:val="005B648C"/>
    <w:rsid w:val="005E19A1"/>
    <w:rsid w:val="005E25FD"/>
    <w:rsid w:val="008C26E8"/>
    <w:rsid w:val="008E2F2F"/>
    <w:rsid w:val="00997794"/>
    <w:rsid w:val="00AC2B65"/>
    <w:rsid w:val="00B53416"/>
    <w:rsid w:val="00D231FB"/>
    <w:rsid w:val="00DE7608"/>
    <w:rsid w:val="00E4283F"/>
    <w:rsid w:val="00F5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55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5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5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Header">
    <w:name w:val="header"/>
    <w:basedOn w:val="Normal"/>
    <w:link w:val="HeaderChar"/>
    <w:rsid w:val="002755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755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755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7559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598"/>
    <w:pPr>
      <w:ind w:left="720"/>
      <w:contextualSpacing/>
    </w:pPr>
    <w:rPr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nhideWhenUsed/>
    <w:rsid w:val="00275598"/>
    <w:pPr>
      <w:ind w:firstLine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75598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qFormat/>
    <w:rsid w:val="00275598"/>
    <w:rPr>
      <w:i/>
      <w:iCs/>
    </w:rPr>
  </w:style>
  <w:style w:type="character" w:styleId="Hyperlink">
    <w:name w:val="Hyperlink"/>
    <w:basedOn w:val="DefaultParagraphFont"/>
    <w:uiPriority w:val="99"/>
    <w:unhideWhenUsed/>
    <w:rsid w:val="00275598"/>
    <w:rPr>
      <w:color w:val="0000FF"/>
      <w:u w:val="single"/>
    </w:rPr>
  </w:style>
  <w:style w:type="table" w:styleId="TableGrid">
    <w:name w:val="Table Grid"/>
    <w:basedOn w:val="TableNormal"/>
    <w:uiPriority w:val="59"/>
    <w:rsid w:val="00275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pesaro.gov.ro/map.php" TargetMode="External"/><Relationship Id="rId5" Type="http://schemas.openxmlformats.org/officeDocument/2006/relationships/hyperlink" Target="https://anmcs.gov.ro/web/acces-aplicatie-capesar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2020-03-04T10:58:00Z</cp:lastPrinted>
  <dcterms:created xsi:type="dcterms:W3CDTF">2020-03-04T10:01:00Z</dcterms:created>
  <dcterms:modified xsi:type="dcterms:W3CDTF">2020-03-04T11:01:00Z</dcterms:modified>
</cp:coreProperties>
</file>